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6E6" w14:textId="77777777" w:rsidR="00206FE5" w:rsidRPr="00206FE5" w:rsidRDefault="00206FE5" w:rsidP="00206FE5">
      <w:r w:rsidRPr="00206FE5">
        <w:rPr>
          <w:b/>
          <w:bCs/>
        </w:rPr>
        <w:t>CARTA ABIERTA</w:t>
      </w:r>
      <w:r w:rsidRPr="00206FE5">
        <w:br/>
      </w:r>
      <w:r w:rsidRPr="00206FE5">
        <w:rPr>
          <w:b/>
          <w:bCs/>
        </w:rPr>
        <w:t>Al Sr. David García</w:t>
      </w:r>
      <w:r w:rsidRPr="00206FE5">
        <w:br/>
      </w:r>
      <w:proofErr w:type="gramStart"/>
      <w:r w:rsidRPr="00206FE5">
        <w:rPr>
          <w:b/>
          <w:bCs/>
        </w:rPr>
        <w:t>Director</w:t>
      </w:r>
      <w:proofErr w:type="gramEnd"/>
      <w:r w:rsidRPr="00206FE5">
        <w:rPr>
          <w:b/>
          <w:bCs/>
        </w:rPr>
        <w:t xml:space="preserve"> de Proyectos – Verdalia</w:t>
      </w:r>
    </w:p>
    <w:p w14:paraId="48F14204" w14:textId="77777777" w:rsidR="00206FE5" w:rsidRPr="00206FE5" w:rsidRDefault="00206FE5" w:rsidP="00206FE5">
      <w:pPr>
        <w:jc w:val="both"/>
      </w:pPr>
      <w:r w:rsidRPr="00206FE5">
        <w:t>Estimado Sr. García:</w:t>
      </w:r>
    </w:p>
    <w:p w14:paraId="6A7E72D6" w14:textId="77777777" w:rsidR="00206FE5" w:rsidRPr="00206FE5" w:rsidRDefault="00206FE5" w:rsidP="00206FE5">
      <w:pPr>
        <w:jc w:val="both"/>
      </w:pPr>
      <w:r w:rsidRPr="00206FE5">
        <w:t>Me dirijo a usted en calidad de vecino de Liermo, médico y académico con formación en Medicina Medioambiental cursada en Alemania, para manifestar mi profunda preocupación por el proyecto de instalación de una macroplanta de biogás en el municipio de Hazas de Cesto.</w:t>
      </w:r>
    </w:p>
    <w:p w14:paraId="10085E5A" w14:textId="454B0913" w:rsidR="00206FE5" w:rsidRPr="00206FE5" w:rsidRDefault="00206FE5" w:rsidP="00206FE5">
      <w:pPr>
        <w:jc w:val="both"/>
      </w:pPr>
      <w:r w:rsidRPr="00206FE5">
        <w:t>Compartimos, sin duda, un objetivo común: la necesidad urgente de reducir la carga contaminante por amoníaco en nuestros ríos, derivada principalmente de los vertidos ganaderos</w:t>
      </w:r>
      <w:r>
        <w:t>, la obtención de energía y fertilizantes.</w:t>
      </w:r>
      <w:r w:rsidRPr="00206FE5">
        <w:t xml:space="preserve"> No obstante, la propuesta presentada por su empresa, Verdalia, genera serias dudas tanto en su concepción como en su alcance real, ya que se plantea bajo un enfoque que parece priorizar el rendimiento económico por encima de la sostenibilidad, la salud pública y el respeto por el entorno rural.</w:t>
      </w:r>
    </w:p>
    <w:p w14:paraId="2C1857AC" w14:textId="6AA7FFD5" w:rsidR="00206FE5" w:rsidRPr="00206FE5" w:rsidRDefault="00206FE5" w:rsidP="00206FE5">
      <w:pPr>
        <w:jc w:val="both"/>
      </w:pPr>
      <w:r w:rsidRPr="00206FE5">
        <w:t xml:space="preserve">Usted mismo ha reconocido públicamente que esta planta operará como un centro de </w:t>
      </w:r>
      <w:r w:rsidRPr="00206FE5">
        <w:rPr>
          <w:b/>
          <w:bCs/>
        </w:rPr>
        <w:t>tratamiento de residuos</w:t>
      </w:r>
      <w:r w:rsidRPr="00206FE5">
        <w:t>, lo cual implica una actividad distinta, tanto en términos técnicos como legales, a la producción de biogás de origen agroganadero. Esta distinción no es menor, ya que afecta de forma directa a las características del digestato generado y al impacto ambiental asociado.</w:t>
      </w:r>
    </w:p>
    <w:p w14:paraId="3CE82512" w14:textId="77777777" w:rsidR="00206FE5" w:rsidRPr="00206FE5" w:rsidRDefault="00206FE5" w:rsidP="00206FE5">
      <w:pPr>
        <w:jc w:val="both"/>
      </w:pPr>
      <w:r w:rsidRPr="00206FE5">
        <w:t xml:space="preserve">Desde nuestra asociación queremos dejar claro que </w:t>
      </w:r>
      <w:r w:rsidRPr="00206FE5">
        <w:rPr>
          <w:b/>
          <w:bCs/>
        </w:rPr>
        <w:t>no estamos en contra de las plantas de biogás</w:t>
      </w:r>
      <w:r w:rsidRPr="00206FE5">
        <w:t>. Estamos, sí, en contra de proyectos que:</w:t>
      </w:r>
    </w:p>
    <w:p w14:paraId="30E2F73C" w14:textId="77777777" w:rsidR="00206FE5" w:rsidRPr="00206FE5" w:rsidRDefault="00206FE5" w:rsidP="00206FE5">
      <w:pPr>
        <w:numPr>
          <w:ilvl w:val="0"/>
          <w:numId w:val="1"/>
        </w:numPr>
        <w:jc w:val="both"/>
      </w:pPr>
      <w:r w:rsidRPr="00206FE5">
        <w:rPr>
          <w:b/>
          <w:bCs/>
        </w:rPr>
        <w:t>Generarán un tráfico de más de 14.000 camiones anuales</w:t>
      </w:r>
      <w:r w:rsidRPr="00206FE5">
        <w:t>, comprometiendo la seguridad vial, la tranquilidad del entorno y la infraestructura local.</w:t>
      </w:r>
    </w:p>
    <w:p w14:paraId="0E338E85" w14:textId="77777777" w:rsidR="00206FE5" w:rsidRPr="00206FE5" w:rsidRDefault="00206FE5" w:rsidP="00206FE5">
      <w:pPr>
        <w:numPr>
          <w:ilvl w:val="0"/>
          <w:numId w:val="1"/>
        </w:numPr>
        <w:jc w:val="both"/>
      </w:pPr>
      <w:r w:rsidRPr="00206FE5">
        <w:rPr>
          <w:b/>
          <w:bCs/>
        </w:rPr>
        <w:t>Pretenden mezclar residuos industriales con purines ganaderos</w:t>
      </w:r>
      <w:r w:rsidRPr="00206FE5">
        <w:t>, lo que impide el uso del digestato como fertirriego. Esto transformaría un recurso agrícola en un vertido potencialmente tóxico, con alto riesgo de acumulación de metales pesados y aumento de nitratos en acuíferos. ¿Está su empresa al tanto de las consecuencias medioambientales y agronómicas de dicha mezcla?</w:t>
      </w:r>
    </w:p>
    <w:p w14:paraId="6AEF2FFF" w14:textId="77777777" w:rsidR="00206FE5" w:rsidRPr="00206FE5" w:rsidRDefault="00206FE5" w:rsidP="00206FE5">
      <w:pPr>
        <w:numPr>
          <w:ilvl w:val="0"/>
          <w:numId w:val="1"/>
        </w:numPr>
        <w:jc w:val="both"/>
      </w:pPr>
      <w:r w:rsidRPr="00206FE5">
        <w:rPr>
          <w:b/>
          <w:bCs/>
        </w:rPr>
        <w:t>Almacenan 38.000 m³ de residuos líquidos</w:t>
      </w:r>
      <w:r w:rsidRPr="00206FE5">
        <w:t xml:space="preserve"> a escasa distancia de arroyos de cabecera del río Pontones, sin garantías explícitas de impermeabilización del terreno. Esta situación representa una amenaza seria de lixiviación de sustancias como nitratos, fósforo, pesticidas y compuestos orgánicos tóxicos hacia las capas freáticas.</w:t>
      </w:r>
    </w:p>
    <w:p w14:paraId="751145DD" w14:textId="77777777" w:rsidR="00206FE5" w:rsidRPr="00206FE5" w:rsidRDefault="00206FE5" w:rsidP="00206FE5">
      <w:pPr>
        <w:numPr>
          <w:ilvl w:val="0"/>
          <w:numId w:val="1"/>
        </w:numPr>
        <w:jc w:val="both"/>
      </w:pPr>
      <w:r w:rsidRPr="00206FE5">
        <w:rPr>
          <w:b/>
          <w:bCs/>
        </w:rPr>
        <w:t>Consumirán aproximadamente 200 m³ de agua al día</w:t>
      </w:r>
      <w:r w:rsidRPr="00206FE5">
        <w:t>, en un contexto donde el digestato generado, si no puede ser utilizado como fertilizante, supondrá además una gran cantidad de agua contaminada sin destino agrícola viable.</w:t>
      </w:r>
    </w:p>
    <w:p w14:paraId="32B235C8" w14:textId="77777777" w:rsidR="00206FE5" w:rsidRPr="00206FE5" w:rsidRDefault="00206FE5" w:rsidP="00206FE5">
      <w:pPr>
        <w:numPr>
          <w:ilvl w:val="0"/>
          <w:numId w:val="1"/>
        </w:numPr>
        <w:jc w:val="both"/>
      </w:pPr>
      <w:r w:rsidRPr="00206FE5">
        <w:rPr>
          <w:b/>
          <w:bCs/>
        </w:rPr>
        <w:t>Emiten sulfuros y otros gases nocivos (H</w:t>
      </w:r>
      <w:r w:rsidRPr="00206FE5">
        <w:rPr>
          <w:rFonts w:ascii="Cambria Math" w:hAnsi="Cambria Math" w:cs="Cambria Math"/>
          <w:b/>
          <w:bCs/>
        </w:rPr>
        <w:t>₂</w:t>
      </w:r>
      <w:r w:rsidRPr="00206FE5">
        <w:rPr>
          <w:b/>
          <w:bCs/>
        </w:rPr>
        <w:t>S, NH</w:t>
      </w:r>
      <w:r w:rsidRPr="00206FE5">
        <w:rPr>
          <w:rFonts w:ascii="Cambria Math" w:hAnsi="Cambria Math" w:cs="Cambria Math"/>
          <w:b/>
          <w:bCs/>
        </w:rPr>
        <w:t>₃</w:t>
      </w:r>
      <w:r w:rsidRPr="00206FE5">
        <w:rPr>
          <w:b/>
          <w:bCs/>
        </w:rPr>
        <w:t xml:space="preserve">, </w:t>
      </w:r>
      <w:proofErr w:type="spellStart"/>
      <w:r w:rsidRPr="00206FE5">
        <w:rPr>
          <w:b/>
          <w:bCs/>
        </w:rPr>
        <w:t>COVs</w:t>
      </w:r>
      <w:proofErr w:type="spellEnd"/>
      <w:r w:rsidRPr="00206FE5">
        <w:rPr>
          <w:b/>
          <w:bCs/>
        </w:rPr>
        <w:t>, siloxanos)</w:t>
      </w:r>
      <w:r w:rsidRPr="00206FE5">
        <w:t xml:space="preserve"> sin que el proyecto mencione ninguna etapa clara de desulfuración o tratamiento de emisiones. Esto conllevará malos olores persistentes, riesgos para la salud y graves consecuencias económicas para sectores como el turismo rural y la restauración.</w:t>
      </w:r>
    </w:p>
    <w:p w14:paraId="79C6154A" w14:textId="77777777" w:rsidR="00206FE5" w:rsidRPr="00206FE5" w:rsidRDefault="00206FE5" w:rsidP="00206FE5">
      <w:pPr>
        <w:numPr>
          <w:ilvl w:val="0"/>
          <w:numId w:val="1"/>
        </w:numPr>
        <w:jc w:val="both"/>
      </w:pPr>
      <w:r w:rsidRPr="00206FE5">
        <w:rPr>
          <w:b/>
          <w:bCs/>
        </w:rPr>
        <w:t>Proponen una eventual reutilización del CO</w:t>
      </w:r>
      <w:r w:rsidRPr="00206FE5">
        <w:rPr>
          <w:rFonts w:ascii="Cambria Math" w:hAnsi="Cambria Math" w:cs="Cambria Math"/>
          <w:b/>
          <w:bCs/>
        </w:rPr>
        <w:t>₂</w:t>
      </w:r>
      <w:r w:rsidRPr="00206FE5">
        <w:rPr>
          <w:b/>
          <w:bCs/>
        </w:rPr>
        <w:t xml:space="preserve"> emitido</w:t>
      </w:r>
      <w:r w:rsidRPr="00206FE5">
        <w:t>, sin integrar dicha tecnología desde el inicio. Si su empresa realmente apuesta por una transición energética limpia, ¿por qué no lo incluyeron desde la fase de diseño, especialmente cuando se prevén incentivos públicos?</w:t>
      </w:r>
    </w:p>
    <w:p w14:paraId="3F2BBDB5" w14:textId="77777777" w:rsidR="00206FE5" w:rsidRPr="00206FE5" w:rsidRDefault="00206FE5" w:rsidP="00206FE5">
      <w:pPr>
        <w:jc w:val="both"/>
      </w:pPr>
      <w:r w:rsidRPr="00206FE5">
        <w:t>Podríamos enumerar más puntos, pero estos representan los aspectos que consideramos más urgentes y preocupantes, y sobre los cuales esperamos una respuesta técnica concreta y pública por parte de su empresa.</w:t>
      </w:r>
    </w:p>
    <w:p w14:paraId="0C198C1E" w14:textId="77777777" w:rsidR="00206FE5" w:rsidRPr="00206FE5" w:rsidRDefault="00206FE5" w:rsidP="00206FE5">
      <w:pPr>
        <w:jc w:val="both"/>
      </w:pPr>
      <w:r w:rsidRPr="00206FE5">
        <w:lastRenderedPageBreak/>
        <w:t xml:space="preserve">Desde nuestra asociación, trabajamos por una </w:t>
      </w:r>
      <w:r w:rsidRPr="00206FE5">
        <w:rPr>
          <w:b/>
          <w:bCs/>
        </w:rPr>
        <w:t>Cantabria limpia, ecológica y energéticamente sostenible</w:t>
      </w:r>
      <w:r w:rsidRPr="00206FE5">
        <w:t xml:space="preserve">. El modelo de macroplanta que Verdalia promueve, tal y como está planteado, </w:t>
      </w:r>
      <w:r w:rsidRPr="00206FE5">
        <w:rPr>
          <w:b/>
          <w:bCs/>
        </w:rPr>
        <w:t>no responde a este ideal</w:t>
      </w:r>
      <w:r w:rsidRPr="00206FE5">
        <w:t>, sino que parece orientado únicamente a la rentabilidad económica, sin valorar adecuadamente el coste ambiental, social y humano de su implantación.</w:t>
      </w:r>
    </w:p>
    <w:p w14:paraId="50CD9F3E" w14:textId="77777777" w:rsidR="009425DD" w:rsidRDefault="009425DD"/>
    <w:sectPr w:rsidR="009425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Cond Light">
    <w:panose1 w:val="020B0306020202020204"/>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A3372"/>
    <w:multiLevelType w:val="multilevel"/>
    <w:tmpl w:val="B61E1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51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06FE5"/>
    <w:rsid w:val="00094966"/>
    <w:rsid w:val="000D60CA"/>
    <w:rsid w:val="00206FE5"/>
    <w:rsid w:val="00373CF8"/>
    <w:rsid w:val="004B0AE2"/>
    <w:rsid w:val="007434DA"/>
    <w:rsid w:val="009425DD"/>
    <w:rsid w:val="00950CD5"/>
    <w:rsid w:val="00DE670A"/>
    <w:rsid w:val="00FB66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2052"/>
  <w15:chartTrackingRefBased/>
  <w15:docId w15:val="{34744441-F05C-476E-AF00-FD505FE2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Cond Light" w:eastAsiaTheme="minorHAnsi" w:hAnsi="Arial Nova Cond Light"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6F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6F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06FE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06F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06FE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06FE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06FE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6F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6F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6FE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6FE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06FE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06FE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06FE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06FE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06FE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0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6F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6F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6FE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06FE5"/>
    <w:pPr>
      <w:spacing w:before="160"/>
      <w:jc w:val="center"/>
    </w:pPr>
    <w:rPr>
      <w:i/>
      <w:iCs/>
      <w:color w:val="404040" w:themeColor="text1" w:themeTint="BF"/>
    </w:rPr>
  </w:style>
  <w:style w:type="character" w:customStyle="1" w:styleId="CitaCar">
    <w:name w:val="Cita Car"/>
    <w:basedOn w:val="Fuentedeprrafopredeter"/>
    <w:link w:val="Cita"/>
    <w:uiPriority w:val="29"/>
    <w:rsid w:val="00206FE5"/>
    <w:rPr>
      <w:i/>
      <w:iCs/>
      <w:color w:val="404040" w:themeColor="text1" w:themeTint="BF"/>
    </w:rPr>
  </w:style>
  <w:style w:type="paragraph" w:styleId="Prrafodelista">
    <w:name w:val="List Paragraph"/>
    <w:basedOn w:val="Normal"/>
    <w:uiPriority w:val="34"/>
    <w:qFormat/>
    <w:rsid w:val="00206FE5"/>
    <w:pPr>
      <w:ind w:left="720"/>
      <w:contextualSpacing/>
    </w:pPr>
  </w:style>
  <w:style w:type="character" w:styleId="nfasisintenso">
    <w:name w:val="Intense Emphasis"/>
    <w:basedOn w:val="Fuentedeprrafopredeter"/>
    <w:uiPriority w:val="21"/>
    <w:qFormat/>
    <w:rsid w:val="00206FE5"/>
    <w:rPr>
      <w:i/>
      <w:iCs/>
      <w:color w:val="0F4761" w:themeColor="accent1" w:themeShade="BF"/>
    </w:rPr>
  </w:style>
  <w:style w:type="paragraph" w:styleId="Citadestacada">
    <w:name w:val="Intense Quote"/>
    <w:basedOn w:val="Normal"/>
    <w:next w:val="Normal"/>
    <w:link w:val="CitadestacadaCar"/>
    <w:uiPriority w:val="30"/>
    <w:qFormat/>
    <w:rsid w:val="0020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6FE5"/>
    <w:rPr>
      <w:i/>
      <w:iCs/>
      <w:color w:val="0F4761" w:themeColor="accent1" w:themeShade="BF"/>
    </w:rPr>
  </w:style>
  <w:style w:type="character" w:styleId="Referenciaintensa">
    <w:name w:val="Intense Reference"/>
    <w:basedOn w:val="Fuentedeprrafopredeter"/>
    <w:uiPriority w:val="32"/>
    <w:qFormat/>
    <w:rsid w:val="00206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4868">
      <w:bodyDiv w:val="1"/>
      <w:marLeft w:val="0"/>
      <w:marRight w:val="0"/>
      <w:marTop w:val="0"/>
      <w:marBottom w:val="0"/>
      <w:divBdr>
        <w:top w:val="none" w:sz="0" w:space="0" w:color="auto"/>
        <w:left w:val="none" w:sz="0" w:space="0" w:color="auto"/>
        <w:bottom w:val="none" w:sz="0" w:space="0" w:color="auto"/>
        <w:right w:val="none" w:sz="0" w:space="0" w:color="auto"/>
      </w:divBdr>
    </w:div>
    <w:div w:id="7090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553</Words>
  <Characters>3046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Martin Martinez</dc:creator>
  <cp:keywords/>
  <dc:description/>
  <cp:lastModifiedBy>Santos Martin Martinez</cp:lastModifiedBy>
  <cp:revision>1</cp:revision>
  <dcterms:created xsi:type="dcterms:W3CDTF">2025-04-06T10:38:00Z</dcterms:created>
  <dcterms:modified xsi:type="dcterms:W3CDTF">2025-04-06T10:50:00Z</dcterms:modified>
</cp:coreProperties>
</file>